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98" w:rsidRPr="003F1F84" w:rsidRDefault="00534898" w:rsidP="00534898">
      <w:pPr>
        <w:contextualSpacing/>
        <w:jc w:val="center"/>
        <w:rPr>
          <w:b/>
        </w:rPr>
      </w:pPr>
      <w:r w:rsidRPr="003F1F84">
        <w:rPr>
          <w:b/>
        </w:rPr>
        <w:t xml:space="preserve">БИЛЕТ </w:t>
      </w:r>
    </w:p>
    <w:p w:rsidR="00534898" w:rsidRPr="003F1F84" w:rsidRDefault="00534898" w:rsidP="00534898">
      <w:pPr>
        <w:contextualSpacing/>
        <w:jc w:val="center"/>
        <w:rPr>
          <w:b/>
        </w:rPr>
      </w:pPr>
      <w:r w:rsidRPr="003F1F84">
        <w:rPr>
          <w:b/>
        </w:rPr>
        <w:t>«</w:t>
      </w:r>
      <w:bookmarkStart w:id="0" w:name="_GoBack"/>
      <w:r w:rsidRPr="003F1F84">
        <w:rPr>
          <w:b/>
        </w:rPr>
        <w:t>Техник-монтажник электрических подъемников</w:t>
      </w:r>
      <w:bookmarkEnd w:id="0"/>
      <w:r w:rsidRPr="003F1F84">
        <w:rPr>
          <w:b/>
        </w:rPr>
        <w:t>»</w:t>
      </w:r>
    </w:p>
    <w:p w:rsidR="00534898" w:rsidRPr="003F1F84" w:rsidRDefault="00534898" w:rsidP="00534898">
      <w:pPr>
        <w:contextualSpacing/>
        <w:jc w:val="center"/>
        <w:rPr>
          <w:b/>
        </w:rPr>
      </w:pPr>
      <w:r w:rsidRPr="003F1F84">
        <w:rPr>
          <w:b/>
        </w:rPr>
        <w:t xml:space="preserve"> (4 уровень квалификации)</w:t>
      </w:r>
    </w:p>
    <w:p w:rsidR="00534898" w:rsidRPr="003F1F84" w:rsidRDefault="00534898" w:rsidP="00534898">
      <w:pPr>
        <w:contextualSpacing/>
        <w:jc w:val="center"/>
        <w:rPr>
          <w:b/>
        </w:rPr>
      </w:pPr>
    </w:p>
    <w:p w:rsidR="00534898" w:rsidRPr="003F1F84" w:rsidRDefault="00534898" w:rsidP="00534898">
      <w:pPr>
        <w:contextualSpacing/>
        <w:jc w:val="center"/>
        <w:rPr>
          <w:b/>
          <w:u w:val="single"/>
          <w:lang w:val="x-none"/>
        </w:rPr>
      </w:pPr>
      <w:r w:rsidRPr="003F1F84">
        <w:rPr>
          <w:b/>
          <w:u w:val="single"/>
        </w:rPr>
        <w:t xml:space="preserve">Вопрос № </w:t>
      </w:r>
      <w:r w:rsidRPr="00F46EAC">
        <w:rPr>
          <w:b/>
          <w:u w:val="single"/>
          <w:lang w:val="x-none"/>
        </w:rPr>
        <w:t>1</w:t>
      </w:r>
    </w:p>
    <w:p w:rsidR="00534898" w:rsidRPr="003F1F84" w:rsidRDefault="00534898" w:rsidP="00534898">
      <w:pPr>
        <w:contextualSpacing/>
        <w:jc w:val="center"/>
        <w:rPr>
          <w:b/>
          <w:u w:val="single"/>
          <w:lang w:val="x-none"/>
        </w:rPr>
      </w:pPr>
    </w:p>
    <w:p w:rsidR="00EE0DD8" w:rsidRPr="003F1F84" w:rsidRDefault="00EE0DD8" w:rsidP="00EE0DD8">
      <w:pPr>
        <w:widowControl w:val="0"/>
        <w:tabs>
          <w:tab w:val="left" w:pos="836"/>
        </w:tabs>
        <w:rPr>
          <w:u w:val="single"/>
        </w:rPr>
      </w:pPr>
      <w:r w:rsidRPr="003F1F84">
        <w:t>Строительная часть лифтов должна соответствовать требованиям: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EE0DD8" w:rsidRPr="003F1F84" w:rsidRDefault="00EE0DD8" w:rsidP="00EE0DD8">
      <w:pPr>
        <w:widowControl w:val="0"/>
        <w:tabs>
          <w:tab w:val="left" w:pos="836"/>
        </w:tabs>
      </w:pPr>
      <w:r w:rsidRPr="003F1F84">
        <w:t>- национального кодекса об административной ответственности при выявленных нарушениях в строительной части зданий и сооружений;</w:t>
      </w:r>
    </w:p>
    <w:p w:rsidR="00EE0DD8" w:rsidRPr="003F1F84" w:rsidRDefault="00EE0DD8" w:rsidP="00EE0DD8">
      <w:pPr>
        <w:widowControl w:val="0"/>
        <w:tabs>
          <w:tab w:val="left" w:pos="836"/>
        </w:tabs>
      </w:pPr>
      <w:r w:rsidRPr="003F1F84">
        <w:t>- национального законодательства в области безопасности зданий и сооружений;</w:t>
      </w:r>
    </w:p>
    <w:p w:rsidR="00534898" w:rsidRDefault="00EE0DD8" w:rsidP="00EE0DD8">
      <w:pPr>
        <w:pStyle w:val="TableParagraph"/>
        <w:tabs>
          <w:tab w:val="left" w:pos="254"/>
        </w:tabs>
        <w:spacing w:before="5" w:line="230" w:lineRule="auto"/>
        <w:ind w:left="0" w:right="1164"/>
        <w:rPr>
          <w:sz w:val="24"/>
          <w:szCs w:val="24"/>
        </w:rPr>
      </w:pPr>
      <w:r w:rsidRPr="003F1F84">
        <w:rPr>
          <w:sz w:val="24"/>
          <w:szCs w:val="24"/>
        </w:rPr>
        <w:t>- монтажного чертежа.</w:t>
      </w:r>
    </w:p>
    <w:p w:rsidR="00F46EAC" w:rsidRPr="003F1F84" w:rsidRDefault="00F46EAC" w:rsidP="00EE0DD8">
      <w:pPr>
        <w:pStyle w:val="TableParagraph"/>
        <w:tabs>
          <w:tab w:val="left" w:pos="254"/>
        </w:tabs>
        <w:spacing w:before="5" w:line="230" w:lineRule="auto"/>
        <w:ind w:left="0" w:right="1164"/>
        <w:rPr>
          <w:sz w:val="24"/>
          <w:szCs w:val="24"/>
          <w:lang w:eastAsia="en-US" w:bidi="ar-SA"/>
        </w:rPr>
      </w:pP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 xml:space="preserve">Вопрос № </w:t>
      </w:r>
      <w:r w:rsidRPr="00F46EAC">
        <w:rPr>
          <w:b/>
          <w:u w:val="single"/>
        </w:rPr>
        <w:t>2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EE0DD8" w:rsidRPr="003F1F84" w:rsidRDefault="00C82E2C" w:rsidP="00EE0DD8">
      <w:pPr>
        <w:widowControl w:val="0"/>
        <w:tabs>
          <w:tab w:val="left" w:pos="836"/>
        </w:tabs>
        <w:rPr>
          <w:u w:val="single"/>
        </w:rPr>
      </w:pPr>
      <w:r w:rsidRPr="003F1F84">
        <w:t>Определение координат установки оборудования. Размер шаблона в плане должен соответствовать:</w:t>
      </w:r>
      <w:r w:rsidR="00EE0DD8" w:rsidRPr="003F1F84">
        <w:t xml:space="preserve"> 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C82E2C" w:rsidRPr="003F1F84" w:rsidRDefault="00C82E2C" w:rsidP="00C82E2C">
      <w:pPr>
        <w:widowControl w:val="0"/>
        <w:tabs>
          <w:tab w:val="left" w:pos="836"/>
        </w:tabs>
      </w:pPr>
      <w:r w:rsidRPr="003F1F84">
        <w:t>- наружным размерам (ширине, глубине) кабины;</w:t>
      </w:r>
    </w:p>
    <w:p w:rsidR="00C82E2C" w:rsidRPr="003F1F84" w:rsidRDefault="00C82E2C" w:rsidP="00C82E2C">
      <w:pPr>
        <w:widowControl w:val="0"/>
        <w:tabs>
          <w:tab w:val="left" w:pos="836"/>
        </w:tabs>
      </w:pPr>
      <w:r w:rsidRPr="003F1F84">
        <w:t>- внутренним размерам (ширине, глубине и высоте) кабины;</w:t>
      </w:r>
    </w:p>
    <w:p w:rsidR="00C82E2C" w:rsidRPr="003F1F84" w:rsidRDefault="00C82E2C" w:rsidP="00C82E2C">
      <w:pPr>
        <w:pStyle w:val="a3"/>
        <w:ind w:left="0"/>
      </w:pPr>
      <w:r w:rsidRPr="003F1F84">
        <w:t>- наружным размерам (ширине, высоте) кабины.</w:t>
      </w:r>
    </w:p>
    <w:p w:rsidR="00C82E2C" w:rsidRPr="003F1F84" w:rsidRDefault="00C82E2C" w:rsidP="00C82E2C">
      <w:pPr>
        <w:pStyle w:val="a3"/>
        <w:ind w:left="0"/>
        <w:rPr>
          <w:b/>
          <w:u w:val="single"/>
        </w:rPr>
      </w:pPr>
    </w:p>
    <w:p w:rsidR="00534898" w:rsidRPr="00F46EAC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 xml:space="preserve">Вопрос № </w:t>
      </w:r>
      <w:r w:rsidRPr="00F46EAC">
        <w:rPr>
          <w:b/>
          <w:u w:val="single"/>
        </w:rPr>
        <w:t>3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C82E2C" w:rsidRPr="003F1F84" w:rsidRDefault="00C82E2C" w:rsidP="00C82E2C">
      <w:pPr>
        <w:widowControl w:val="0"/>
        <w:tabs>
          <w:tab w:val="left" w:pos="836"/>
        </w:tabs>
      </w:pPr>
      <w:r w:rsidRPr="003F1F84">
        <w:t>На рисунке изображен штангенциркуль с двусторонним расположением губок. Остроконечные губки штангенциркуля применяют:</w:t>
      </w:r>
    </w:p>
    <w:p w:rsidR="00C82E2C" w:rsidRPr="003F1F84" w:rsidRDefault="00C82E2C" w:rsidP="00C82E2C">
      <w:pPr>
        <w:widowControl w:val="0"/>
        <w:tabs>
          <w:tab w:val="left" w:pos="836"/>
        </w:tabs>
      </w:pPr>
      <w:r w:rsidRPr="003F1F84">
        <w:t xml:space="preserve"> </w:t>
      </w:r>
    </w:p>
    <w:p w:rsidR="00C82E2C" w:rsidRPr="003F1F84" w:rsidRDefault="00C82E2C" w:rsidP="00C82E2C">
      <w:pPr>
        <w:widowControl w:val="0"/>
        <w:tabs>
          <w:tab w:val="left" w:pos="836"/>
        </w:tabs>
        <w:jc w:val="center"/>
      </w:pPr>
      <w:r w:rsidRPr="003F1F84">
        <w:rPr>
          <w:noProof/>
        </w:rPr>
        <w:drawing>
          <wp:inline distT="0" distB="0" distL="0" distR="0" wp14:anchorId="36CA00A9" wp14:editId="7E8820DE">
            <wp:extent cx="3267075" cy="2400300"/>
            <wp:effectExtent l="0" t="0" r="9525" b="0"/>
            <wp:docPr id="6" name="Рисунок 6" descr="Штангенцирку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тангенцирку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98" w:rsidRPr="003F1F84" w:rsidRDefault="00534898" w:rsidP="00C82E2C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pStyle w:val="TableParagraph"/>
        <w:spacing w:line="259" w:lineRule="exact"/>
        <w:ind w:left="0" w:right="23"/>
        <w:rPr>
          <w:b/>
          <w:sz w:val="24"/>
          <w:szCs w:val="24"/>
          <w:u w:val="single"/>
          <w:lang w:bidi="ar-SA"/>
        </w:rPr>
      </w:pPr>
    </w:p>
    <w:p w:rsidR="00C82E2C" w:rsidRPr="003F1F84" w:rsidRDefault="00C82E2C" w:rsidP="00C82E2C">
      <w:pPr>
        <w:widowControl w:val="0"/>
        <w:tabs>
          <w:tab w:val="left" w:pos="836"/>
        </w:tabs>
      </w:pPr>
      <w:r w:rsidRPr="003F1F84">
        <w:t>- для разметки и измерения внутренних поверхностей цилиндрической формы;</w:t>
      </w:r>
    </w:p>
    <w:p w:rsidR="00C82E2C" w:rsidRPr="003F1F84" w:rsidRDefault="00C82E2C" w:rsidP="00C82E2C">
      <w:pPr>
        <w:widowControl w:val="0"/>
        <w:tabs>
          <w:tab w:val="left" w:pos="836"/>
        </w:tabs>
      </w:pPr>
      <w:r w:rsidRPr="003F1F84">
        <w:t>- для разметки или измерения наружных размеров в труднодоступных местах;</w:t>
      </w:r>
    </w:p>
    <w:p w:rsidR="00534898" w:rsidRPr="003F1F84" w:rsidRDefault="00C82E2C" w:rsidP="00C82E2C">
      <w:pPr>
        <w:contextualSpacing/>
      </w:pPr>
      <w:r w:rsidRPr="003F1F84">
        <w:t>- для разметки и измерения поверхностей, имеющие непараллельные грани;</w:t>
      </w:r>
    </w:p>
    <w:p w:rsidR="008B0399" w:rsidRPr="003F1F84" w:rsidRDefault="008B0399" w:rsidP="00D40352">
      <w:pPr>
        <w:pStyle w:val="TableParagraph"/>
        <w:ind w:left="0"/>
        <w:contextualSpacing/>
        <w:rPr>
          <w:sz w:val="24"/>
          <w:szCs w:val="24"/>
        </w:rPr>
      </w:pPr>
    </w:p>
    <w:p w:rsidR="00534898" w:rsidRPr="00F46EAC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 xml:space="preserve">Вопрос </w:t>
      </w:r>
      <w:r w:rsidRPr="00F46EAC">
        <w:rPr>
          <w:b/>
          <w:u w:val="single"/>
        </w:rPr>
        <w:t xml:space="preserve">№ </w:t>
      </w:r>
      <w:r w:rsidR="008B0399" w:rsidRPr="00F46EAC">
        <w:rPr>
          <w:b/>
          <w:u w:val="single"/>
        </w:rPr>
        <w:t>4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D40352" w:rsidRPr="003F1F84" w:rsidRDefault="00D40352" w:rsidP="00D40352">
      <w:pPr>
        <w:widowControl w:val="0"/>
        <w:tabs>
          <w:tab w:val="left" w:pos="2010"/>
        </w:tabs>
      </w:pPr>
      <w:r w:rsidRPr="003F1F84">
        <w:t>Какой сварной шов изображен на рисунке?</w:t>
      </w:r>
      <w:r w:rsidRPr="003F1F84">
        <w:tab/>
      </w:r>
    </w:p>
    <w:p w:rsidR="00D40352" w:rsidRPr="003F1F84" w:rsidRDefault="00D40352" w:rsidP="00D40352">
      <w:pPr>
        <w:widowControl w:val="0"/>
        <w:tabs>
          <w:tab w:val="left" w:pos="2010"/>
        </w:tabs>
      </w:pPr>
      <w:r w:rsidRPr="003F1F84">
        <w:rPr>
          <w:noProof/>
        </w:rPr>
        <w:drawing>
          <wp:inline distT="0" distB="0" distL="0" distR="0" wp14:anchorId="226D6BFA" wp14:editId="5AD41223">
            <wp:extent cx="828675" cy="190500"/>
            <wp:effectExtent l="0" t="0" r="9525" b="0"/>
            <wp:docPr id="5" name="Рисунок 5" descr="\\tprogress.local\shared\Лифты\_Облеухов А. А\Информация\Фото для КОСов\Монтаж\Сварка\Швы\Стыковое 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\\tprogress.local\shared\Лифты\_Облеухов А. А\Информация\Фото для КОСов\Монтаж\Сварка\Швы\Стыковое С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D40352" w:rsidRPr="003F1F84" w:rsidRDefault="00D40352" w:rsidP="00D40352">
      <w:pPr>
        <w:widowControl w:val="0"/>
        <w:tabs>
          <w:tab w:val="left" w:pos="836"/>
        </w:tabs>
      </w:pPr>
      <w:r w:rsidRPr="003F1F84">
        <w:t>- стыковое с отбортовкой кромок;</w:t>
      </w:r>
    </w:p>
    <w:p w:rsidR="00D40352" w:rsidRPr="003F1F84" w:rsidRDefault="00D40352" w:rsidP="00D40352">
      <w:pPr>
        <w:widowControl w:val="0"/>
        <w:tabs>
          <w:tab w:val="left" w:pos="836"/>
        </w:tabs>
      </w:pPr>
      <w:r w:rsidRPr="003F1F84">
        <w:t>- стыковое без скоса кромок;</w:t>
      </w:r>
    </w:p>
    <w:p w:rsidR="00D40352" w:rsidRDefault="0060121C" w:rsidP="00D40352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 тавровое без скоса кромок.</w:t>
      </w:r>
    </w:p>
    <w:p w:rsidR="00F46EAC" w:rsidRPr="003F1F84" w:rsidRDefault="00F46EAC" w:rsidP="00D40352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 xml:space="preserve">Вопрос № </w:t>
      </w:r>
      <w:r w:rsidR="008B0399" w:rsidRPr="00F46EAC">
        <w:rPr>
          <w:b/>
          <w:u w:val="single"/>
        </w:rPr>
        <w:t>5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AE3177" w:rsidRPr="003F1F84" w:rsidRDefault="00AE3177" w:rsidP="00AE3177">
      <w:pPr>
        <w:autoSpaceDE w:val="0"/>
        <w:autoSpaceDN w:val="0"/>
        <w:adjustRightInd w:val="0"/>
      </w:pPr>
      <w:r w:rsidRPr="003F1F84">
        <w:rPr>
          <w:rFonts w:hint="eastAsia"/>
        </w:rPr>
        <w:t>По</w:t>
      </w:r>
      <w:r w:rsidRPr="003F1F84">
        <w:t xml:space="preserve"> </w:t>
      </w:r>
      <w:r w:rsidRPr="003F1F84">
        <w:rPr>
          <w:rFonts w:hint="eastAsia"/>
        </w:rPr>
        <w:t>окончании</w:t>
      </w:r>
      <w:r w:rsidRPr="003F1F84">
        <w:t xml:space="preserve"> </w:t>
      </w:r>
      <w:r w:rsidRPr="003F1F84">
        <w:rPr>
          <w:rFonts w:hint="eastAsia"/>
        </w:rPr>
        <w:t>сварки</w:t>
      </w:r>
      <w:r w:rsidRPr="003F1F84">
        <w:t xml:space="preserve"> </w:t>
      </w:r>
      <w:r w:rsidRPr="003F1F84">
        <w:rPr>
          <w:rFonts w:hint="eastAsia"/>
        </w:rPr>
        <w:t>поверхности</w:t>
      </w:r>
      <w:r w:rsidRPr="003F1F84">
        <w:t xml:space="preserve"> </w:t>
      </w:r>
      <w:r w:rsidRPr="003F1F84">
        <w:rPr>
          <w:rFonts w:hint="eastAsia"/>
        </w:rPr>
        <w:t>конструкции</w:t>
      </w:r>
      <w:r w:rsidRPr="003F1F84">
        <w:t xml:space="preserve"> </w:t>
      </w:r>
      <w:r w:rsidRPr="003F1F84">
        <w:rPr>
          <w:rFonts w:hint="eastAsia"/>
        </w:rPr>
        <w:t>и</w:t>
      </w:r>
      <w:r w:rsidRPr="003F1F84">
        <w:t xml:space="preserve"> </w:t>
      </w:r>
      <w:r w:rsidRPr="003F1F84">
        <w:rPr>
          <w:rFonts w:hint="eastAsia"/>
        </w:rPr>
        <w:t>швов</w:t>
      </w:r>
      <w:r w:rsidRPr="003F1F84">
        <w:t xml:space="preserve"> </w:t>
      </w:r>
      <w:r w:rsidRPr="003F1F84">
        <w:rPr>
          <w:rFonts w:hint="eastAsia"/>
        </w:rPr>
        <w:t>сварных</w:t>
      </w:r>
      <w:r w:rsidRPr="003F1F84">
        <w:t xml:space="preserve"> </w:t>
      </w:r>
      <w:r w:rsidRPr="003F1F84">
        <w:rPr>
          <w:rFonts w:hint="eastAsia"/>
        </w:rPr>
        <w:t>соединений</w:t>
      </w:r>
      <w:r w:rsidRPr="003F1F84">
        <w:t xml:space="preserve"> </w:t>
      </w:r>
      <w:r w:rsidRPr="003F1F84">
        <w:rPr>
          <w:rFonts w:hint="eastAsia"/>
        </w:rPr>
        <w:t>следует</w:t>
      </w:r>
      <w:r w:rsidRPr="003F1F84">
        <w:t>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AE3177" w:rsidRPr="003F1F84" w:rsidRDefault="00AE3177" w:rsidP="00AE3177">
      <w:pPr>
        <w:pStyle w:val="TableParagraph"/>
        <w:ind w:left="0"/>
        <w:rPr>
          <w:sz w:val="24"/>
          <w:szCs w:val="24"/>
        </w:rPr>
      </w:pPr>
      <w:r w:rsidRPr="003F1F84">
        <w:rPr>
          <w:sz w:val="24"/>
          <w:szCs w:val="24"/>
        </w:rPr>
        <w:t>- обработать специальным раствором;</w:t>
      </w:r>
    </w:p>
    <w:p w:rsidR="00AE3177" w:rsidRPr="003F1F84" w:rsidRDefault="00AE3177" w:rsidP="00AE3177">
      <w:pPr>
        <w:pStyle w:val="TableParagraph"/>
        <w:ind w:left="0"/>
        <w:rPr>
          <w:sz w:val="24"/>
          <w:szCs w:val="24"/>
          <w:lang w:eastAsia="en-US" w:bidi="ar-SA"/>
        </w:rPr>
      </w:pPr>
      <w:r w:rsidRPr="003F1F84">
        <w:rPr>
          <w:sz w:val="24"/>
          <w:szCs w:val="24"/>
        </w:rPr>
        <w:t>- нанести специальное масло для правильного процесса остывания шва</w:t>
      </w:r>
      <w:r w:rsidRPr="003F1F84">
        <w:rPr>
          <w:sz w:val="24"/>
          <w:szCs w:val="24"/>
          <w:lang w:eastAsia="en-US" w:bidi="ar-SA"/>
        </w:rPr>
        <w:t>;</w:t>
      </w:r>
    </w:p>
    <w:p w:rsidR="00534898" w:rsidRDefault="00AE3177" w:rsidP="00AE3177">
      <w:pPr>
        <w:contextualSpacing/>
        <w:rPr>
          <w:lang w:eastAsia="en-US"/>
        </w:rPr>
      </w:pPr>
      <w:r w:rsidRPr="003F1F84">
        <w:rPr>
          <w:lang w:eastAsia="en-US"/>
        </w:rPr>
        <w:t xml:space="preserve">- </w:t>
      </w:r>
      <w:r w:rsidRPr="003F1F84">
        <w:rPr>
          <w:rFonts w:hint="eastAsia"/>
          <w:lang w:eastAsia="en-US"/>
        </w:rPr>
        <w:t>очистить</w:t>
      </w:r>
      <w:r w:rsidRPr="003F1F84">
        <w:rPr>
          <w:lang w:eastAsia="en-US"/>
        </w:rPr>
        <w:t xml:space="preserve"> </w:t>
      </w:r>
      <w:r w:rsidRPr="003F1F84">
        <w:rPr>
          <w:rFonts w:hint="eastAsia"/>
          <w:lang w:eastAsia="en-US"/>
        </w:rPr>
        <w:t>от</w:t>
      </w:r>
      <w:r w:rsidRPr="003F1F84">
        <w:t xml:space="preserve"> </w:t>
      </w:r>
      <w:r w:rsidRPr="003F1F84">
        <w:rPr>
          <w:rFonts w:hint="eastAsia"/>
          <w:lang w:eastAsia="en-US"/>
        </w:rPr>
        <w:t>шлака</w:t>
      </w:r>
      <w:r w:rsidRPr="003F1F84">
        <w:rPr>
          <w:lang w:eastAsia="en-US"/>
        </w:rPr>
        <w:t>.</w:t>
      </w:r>
    </w:p>
    <w:p w:rsidR="00F46EAC" w:rsidRPr="003F1F84" w:rsidRDefault="00F46EAC" w:rsidP="00AE3177">
      <w:pPr>
        <w:contextualSpacing/>
        <w:rPr>
          <w:b/>
          <w:u w:val="single"/>
        </w:rPr>
      </w:pPr>
    </w:p>
    <w:p w:rsidR="00534898" w:rsidRPr="008B0399" w:rsidRDefault="00534898" w:rsidP="00534898">
      <w:pPr>
        <w:contextualSpacing/>
        <w:jc w:val="center"/>
        <w:rPr>
          <w:b/>
          <w:color w:val="FF0000"/>
          <w:u w:val="single"/>
        </w:rPr>
      </w:pPr>
      <w:r w:rsidRPr="003F1F84">
        <w:rPr>
          <w:b/>
          <w:u w:val="single"/>
        </w:rPr>
        <w:t xml:space="preserve">Вопрос № </w:t>
      </w:r>
      <w:r w:rsidR="008B0399" w:rsidRPr="00F46EAC">
        <w:rPr>
          <w:b/>
          <w:u w:val="single"/>
        </w:rPr>
        <w:t>6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534898" w:rsidRPr="003F1F84" w:rsidRDefault="0028124A" w:rsidP="0028124A">
      <w:pPr>
        <w:pStyle w:val="TableParagraph"/>
        <w:ind w:left="0"/>
        <w:rPr>
          <w:sz w:val="24"/>
          <w:szCs w:val="24"/>
        </w:rPr>
      </w:pPr>
      <w:r w:rsidRPr="003F1F84">
        <w:rPr>
          <w:sz w:val="24"/>
          <w:szCs w:val="24"/>
        </w:rPr>
        <w:t xml:space="preserve">При монтаже металлического каркаса шахты допускаются следующие отклонения: 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28124A" w:rsidRPr="003F1F84" w:rsidRDefault="0028124A" w:rsidP="0028124A">
      <w:pPr>
        <w:pStyle w:val="TableParagraph"/>
        <w:tabs>
          <w:tab w:val="left" w:pos="250"/>
        </w:tabs>
        <w:ind w:left="0"/>
        <w:rPr>
          <w:sz w:val="24"/>
          <w:szCs w:val="24"/>
        </w:rPr>
      </w:pPr>
      <w:r w:rsidRPr="003F1F84">
        <w:rPr>
          <w:sz w:val="24"/>
          <w:szCs w:val="24"/>
        </w:rPr>
        <w:t>- отклонение по высоте ± 25 мм;</w:t>
      </w:r>
    </w:p>
    <w:p w:rsidR="0028124A" w:rsidRPr="003F1F84" w:rsidRDefault="0028124A" w:rsidP="0028124A">
      <w:pPr>
        <w:pStyle w:val="TableParagraph"/>
        <w:tabs>
          <w:tab w:val="left" w:pos="250"/>
        </w:tabs>
        <w:ind w:left="0"/>
        <w:rPr>
          <w:sz w:val="24"/>
          <w:szCs w:val="24"/>
        </w:rPr>
      </w:pPr>
      <w:r w:rsidRPr="003F1F84">
        <w:rPr>
          <w:sz w:val="24"/>
          <w:szCs w:val="24"/>
        </w:rPr>
        <w:t>- отклонение от горизонтали поясов каркаса 0,5 мм на 1 м;</w:t>
      </w:r>
    </w:p>
    <w:p w:rsidR="0028124A" w:rsidRPr="003F1F84" w:rsidRDefault="0028124A" w:rsidP="0028124A">
      <w:pPr>
        <w:pStyle w:val="TableParagraph"/>
        <w:tabs>
          <w:tab w:val="left" w:pos="250"/>
        </w:tabs>
        <w:ind w:left="0"/>
        <w:rPr>
          <w:sz w:val="24"/>
          <w:szCs w:val="24"/>
        </w:rPr>
      </w:pPr>
      <w:r w:rsidRPr="003F1F84">
        <w:rPr>
          <w:sz w:val="24"/>
          <w:szCs w:val="24"/>
        </w:rPr>
        <w:t>- отклонение по ширине ± 10 мм;</w:t>
      </w:r>
    </w:p>
    <w:p w:rsidR="0028124A" w:rsidRPr="003F1F84" w:rsidRDefault="0028124A" w:rsidP="0028124A">
      <w:pPr>
        <w:contextualSpacing/>
      </w:pPr>
      <w:r w:rsidRPr="003F1F84">
        <w:t>- разность диагоналей ± 10 мм.</w:t>
      </w:r>
    </w:p>
    <w:p w:rsidR="00F46EAC" w:rsidRPr="003F1F84" w:rsidRDefault="00F46EAC" w:rsidP="0024292B">
      <w:pPr>
        <w:pStyle w:val="TableParagraph"/>
        <w:tabs>
          <w:tab w:val="left" w:pos="254"/>
        </w:tabs>
        <w:spacing w:line="269" w:lineRule="exact"/>
        <w:ind w:left="0"/>
        <w:contextualSpacing/>
        <w:rPr>
          <w:b/>
          <w:sz w:val="24"/>
          <w:szCs w:val="24"/>
          <w:u w:val="single"/>
        </w:rPr>
      </w:pPr>
    </w:p>
    <w:p w:rsidR="00534898" w:rsidRPr="00F46EAC" w:rsidRDefault="00534898" w:rsidP="00534898">
      <w:pPr>
        <w:contextualSpacing/>
        <w:jc w:val="center"/>
        <w:rPr>
          <w:b/>
          <w:color w:val="FF0000"/>
          <w:u w:val="single"/>
        </w:rPr>
      </w:pPr>
      <w:r w:rsidRPr="003F1F84">
        <w:rPr>
          <w:b/>
          <w:u w:val="single"/>
        </w:rPr>
        <w:t xml:space="preserve">Вопрос № </w:t>
      </w:r>
      <w:r w:rsidRPr="00F46EAC">
        <w:rPr>
          <w:b/>
          <w:u w:val="single"/>
        </w:rPr>
        <w:t>7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534898" w:rsidRPr="003F1F84" w:rsidRDefault="0024292B" w:rsidP="00534898">
      <w:pPr>
        <w:widowControl w:val="0"/>
        <w:tabs>
          <w:tab w:val="left" w:pos="836"/>
        </w:tabs>
      </w:pPr>
      <w:r w:rsidRPr="003F1F84">
        <w:t>Диэлектрик это: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24292B" w:rsidRPr="003F1F84" w:rsidRDefault="0024292B" w:rsidP="0024292B">
      <w:pPr>
        <w:widowControl w:val="0"/>
        <w:tabs>
          <w:tab w:val="left" w:pos="836"/>
        </w:tabs>
      </w:pPr>
      <w:r w:rsidRPr="003F1F84">
        <w:t>- вещество, основным электрическим свойством которого является способность поляризоваться в электрическом поле;</w:t>
      </w:r>
    </w:p>
    <w:p w:rsidR="0024292B" w:rsidRPr="003F1F84" w:rsidRDefault="0024292B" w:rsidP="0024292B">
      <w:pPr>
        <w:widowControl w:val="0"/>
        <w:tabs>
          <w:tab w:val="left" w:pos="836"/>
        </w:tabs>
      </w:pPr>
      <w:r w:rsidRPr="003F1F84">
        <w:t>- вещество, основным электрическим свойством которого является способность размягчаться в электрическом поле;</w:t>
      </w:r>
    </w:p>
    <w:p w:rsidR="00534898" w:rsidRPr="003F1F84" w:rsidRDefault="0024292B" w:rsidP="0024292B">
      <w:pPr>
        <w:contextualSpacing/>
      </w:pPr>
      <w:r w:rsidRPr="003F1F84">
        <w:t>- вещество, проводящее электрический ток в двух направлениях.</w:t>
      </w:r>
    </w:p>
    <w:p w:rsidR="00A17F91" w:rsidRPr="003F1F84" w:rsidRDefault="00A17F91" w:rsidP="0024292B">
      <w:pPr>
        <w:contextualSpacing/>
        <w:rPr>
          <w:b/>
          <w:u w:val="single"/>
        </w:rPr>
      </w:pPr>
    </w:p>
    <w:p w:rsidR="00534898" w:rsidRPr="00F46EAC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 xml:space="preserve">Вопрос № </w:t>
      </w:r>
      <w:r w:rsidRPr="00F46EAC">
        <w:rPr>
          <w:b/>
          <w:u w:val="single"/>
        </w:rPr>
        <w:t>8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D618B7" w:rsidRPr="003F1F84" w:rsidRDefault="00D618B7" w:rsidP="00D618B7">
      <w:pPr>
        <w:pStyle w:val="TableParagraph"/>
        <w:spacing w:line="268" w:lineRule="exact"/>
        <w:ind w:left="0"/>
        <w:rPr>
          <w:sz w:val="24"/>
        </w:rPr>
      </w:pPr>
      <w:r w:rsidRPr="003F1F84">
        <w:rPr>
          <w:sz w:val="24"/>
        </w:rPr>
        <w:t>На рисунке изображен символ, обозначающий:</w:t>
      </w:r>
    </w:p>
    <w:p w:rsidR="00D618B7" w:rsidRPr="003F1F84" w:rsidRDefault="00D618B7" w:rsidP="00D618B7">
      <w:pPr>
        <w:pStyle w:val="TableParagraph"/>
        <w:spacing w:before="6"/>
        <w:ind w:left="0"/>
        <w:rPr>
          <w:b/>
          <w:sz w:val="24"/>
        </w:rPr>
      </w:pPr>
    </w:p>
    <w:p w:rsidR="00534898" w:rsidRPr="003F1F84" w:rsidRDefault="00D618B7" w:rsidP="00D618B7">
      <w:pPr>
        <w:pStyle w:val="TableParagraph"/>
        <w:rPr>
          <w:sz w:val="20"/>
        </w:rPr>
      </w:pPr>
      <w:r w:rsidRPr="003F1F84">
        <w:rPr>
          <w:noProof/>
          <w:sz w:val="20"/>
          <w:lang w:bidi="ar-SA"/>
        </w:rPr>
        <w:drawing>
          <wp:inline distT="0" distB="0" distL="0" distR="0" wp14:anchorId="15D32420" wp14:editId="601D94BF">
            <wp:extent cx="628982" cy="264033"/>
            <wp:effectExtent l="0" t="0" r="0" b="0"/>
            <wp:docPr id="12" name="image4.jpeg" descr="ГОСТ 30012.1-2002 (МЭК 60051-1-97) Приборы аналоговые показывающие электроизмерительные прямого действия и вспомогательные части к ним. Часть 1. Определения и основные требования, общие для всех ча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82" cy="2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D618B7" w:rsidRPr="003F1F84" w:rsidRDefault="00D618B7" w:rsidP="00D618B7">
      <w:pPr>
        <w:pStyle w:val="TableParagraph"/>
        <w:tabs>
          <w:tab w:val="left" w:pos="245"/>
        </w:tabs>
        <w:ind w:left="0" w:right="104"/>
        <w:rPr>
          <w:sz w:val="24"/>
        </w:rPr>
      </w:pPr>
      <w:r w:rsidRPr="003F1F84">
        <w:rPr>
          <w:sz w:val="24"/>
        </w:rPr>
        <w:t>- цепь постоянного тока и (или)</w:t>
      </w:r>
      <w:r w:rsidRPr="003F1F84">
        <w:rPr>
          <w:spacing w:val="-19"/>
          <w:sz w:val="24"/>
        </w:rPr>
        <w:t xml:space="preserve"> </w:t>
      </w:r>
      <w:r w:rsidRPr="003F1F84">
        <w:rPr>
          <w:sz w:val="24"/>
        </w:rPr>
        <w:t>измерительный элемент, реагирующий на постоянный</w:t>
      </w:r>
      <w:r w:rsidRPr="003F1F84">
        <w:rPr>
          <w:spacing w:val="-7"/>
          <w:sz w:val="24"/>
        </w:rPr>
        <w:t xml:space="preserve"> </w:t>
      </w:r>
      <w:r w:rsidRPr="003F1F84">
        <w:rPr>
          <w:sz w:val="24"/>
        </w:rPr>
        <w:t>ток;</w:t>
      </w:r>
    </w:p>
    <w:p w:rsidR="00D618B7" w:rsidRPr="003F1F84" w:rsidRDefault="00D618B7" w:rsidP="00D618B7">
      <w:pPr>
        <w:pStyle w:val="TableParagraph"/>
        <w:tabs>
          <w:tab w:val="left" w:pos="245"/>
        </w:tabs>
        <w:ind w:left="-35" w:right="694"/>
        <w:rPr>
          <w:sz w:val="24"/>
        </w:rPr>
      </w:pPr>
      <w:r w:rsidRPr="003F1F84">
        <w:rPr>
          <w:sz w:val="24"/>
        </w:rPr>
        <w:t>- цепь переменного тока и (или) измерительный элемент, реагирующий на переменный</w:t>
      </w:r>
      <w:r w:rsidRPr="003F1F84">
        <w:rPr>
          <w:spacing w:val="-1"/>
          <w:sz w:val="24"/>
        </w:rPr>
        <w:t xml:space="preserve"> </w:t>
      </w:r>
      <w:r w:rsidRPr="003F1F84">
        <w:rPr>
          <w:sz w:val="24"/>
        </w:rPr>
        <w:t>ток;</w:t>
      </w:r>
    </w:p>
    <w:p w:rsidR="00534898" w:rsidRPr="003F1F84" w:rsidRDefault="00D618B7" w:rsidP="00D618B7">
      <w:pPr>
        <w:pStyle w:val="TableParagraph"/>
        <w:tabs>
          <w:tab w:val="left" w:pos="245"/>
        </w:tabs>
        <w:ind w:left="-35" w:right="694"/>
        <w:rPr>
          <w:sz w:val="24"/>
        </w:rPr>
      </w:pPr>
      <w:r w:rsidRPr="003F1F84">
        <w:rPr>
          <w:sz w:val="24"/>
        </w:rPr>
        <w:t xml:space="preserve">- цепь постоянного (или) переменного тока и (или) </w:t>
      </w:r>
      <w:r w:rsidRPr="003F1F84">
        <w:t>измерительный элемент,</w:t>
      </w:r>
      <w:r w:rsidRPr="003F1F84">
        <w:rPr>
          <w:sz w:val="24"/>
        </w:rPr>
        <w:t xml:space="preserve"> реагирующий на постоянный и переменный ток.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534898" w:rsidRPr="003F1F84" w:rsidRDefault="00F46EAC" w:rsidP="00534898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№ </w:t>
      </w:r>
      <w:r w:rsidR="00534898" w:rsidRPr="00F46EAC">
        <w:rPr>
          <w:b/>
          <w:u w:val="single"/>
        </w:rPr>
        <w:t>9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534898" w:rsidRPr="003F1F84" w:rsidRDefault="0085071B" w:rsidP="00534898">
      <w:pPr>
        <w:contextualSpacing/>
      </w:pPr>
      <w:r w:rsidRPr="003F1F84">
        <w:t>Действия в случаях поражения электрическим током, если нет пульса на сонной артерии: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contextualSpacing/>
        <w:jc w:val="center"/>
      </w:pPr>
    </w:p>
    <w:p w:rsidR="0085071B" w:rsidRPr="003F1F84" w:rsidRDefault="0085071B" w:rsidP="0085071B">
      <w:pPr>
        <w:pStyle w:val="TableParagraph"/>
        <w:ind w:left="0"/>
        <w:rPr>
          <w:sz w:val="24"/>
        </w:rPr>
      </w:pPr>
      <w:r w:rsidRPr="003F1F84">
        <w:rPr>
          <w:sz w:val="24"/>
        </w:rPr>
        <w:t>- нанести удар по грудине и при его неэффективности приступить к проведению реанимации;</w:t>
      </w:r>
    </w:p>
    <w:p w:rsidR="0085071B" w:rsidRPr="003F1F84" w:rsidRDefault="0085071B" w:rsidP="0085071B">
      <w:pPr>
        <w:pStyle w:val="TableParagraph"/>
        <w:ind w:left="0"/>
        <w:rPr>
          <w:sz w:val="24"/>
        </w:rPr>
      </w:pPr>
      <w:r w:rsidRPr="003F1F84">
        <w:rPr>
          <w:sz w:val="24"/>
        </w:rPr>
        <w:t>- повернуть на живот и приложить холод к голове, затем дать обезболивающие таблетки;</w:t>
      </w:r>
    </w:p>
    <w:p w:rsidR="0085071B" w:rsidRDefault="0085071B" w:rsidP="0085071B">
      <w:pPr>
        <w:contextualSpacing/>
      </w:pPr>
      <w:r w:rsidRPr="003F1F84">
        <w:t>- перевести пораженного электрическим током человека в положение сидя, и провести реанимацию.</w:t>
      </w:r>
    </w:p>
    <w:p w:rsidR="00F46EAC" w:rsidRPr="003F1F84" w:rsidRDefault="00F46EAC" w:rsidP="0085071B">
      <w:pPr>
        <w:contextualSpacing/>
      </w:pPr>
    </w:p>
    <w:p w:rsidR="00534898" w:rsidRPr="003F1F84" w:rsidRDefault="00F46EAC" w:rsidP="0085071B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 1</w:t>
      </w:r>
      <w:r w:rsidR="00534898" w:rsidRPr="003F1F84">
        <w:rPr>
          <w:b/>
          <w:u w:val="single"/>
        </w:rPr>
        <w:t>0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85071B" w:rsidRPr="003F1F84" w:rsidRDefault="0085071B" w:rsidP="0085071B">
      <w:pPr>
        <w:widowControl w:val="0"/>
        <w:tabs>
          <w:tab w:val="left" w:pos="836"/>
        </w:tabs>
        <w:rPr>
          <w:rStyle w:val="Bodytext211pt"/>
          <w:color w:val="auto"/>
        </w:rPr>
      </w:pPr>
      <w:r w:rsidRPr="003F1F84">
        <w:rPr>
          <w:rStyle w:val="Bodytext211pt"/>
          <w:color w:val="auto"/>
        </w:rPr>
        <w:lastRenderedPageBreak/>
        <w:t>Какой элемент гидравлической схемы обозначается ниже приведенным символом?</w:t>
      </w:r>
    </w:p>
    <w:p w:rsidR="0085071B" w:rsidRPr="003F1F84" w:rsidRDefault="0085071B" w:rsidP="0085071B">
      <w:pPr>
        <w:widowControl w:val="0"/>
        <w:rPr>
          <w:rStyle w:val="Bodytext211pt"/>
          <w:color w:val="auto"/>
        </w:rPr>
      </w:pPr>
    </w:p>
    <w:p w:rsidR="0085071B" w:rsidRPr="003F1F84" w:rsidRDefault="0085071B" w:rsidP="0085071B">
      <w:pPr>
        <w:widowControl w:val="0"/>
        <w:rPr>
          <w:noProof/>
        </w:rPr>
      </w:pPr>
      <w:r w:rsidRPr="003F1F84">
        <w:rPr>
          <w:noProof/>
        </w:rPr>
        <w:drawing>
          <wp:inline distT="0" distB="0" distL="0" distR="0" wp14:anchorId="3BF53A0E" wp14:editId="49C0F424">
            <wp:extent cx="476250" cy="1057275"/>
            <wp:effectExtent l="0" t="0" r="0" b="9525"/>
            <wp:docPr id="21" name="Рисунок 21" descr="\\tprogress.local\shared\Лифты\_Облеухов А. А\Информация\Фото для КОСов\Гидравлика\Условные обозначения\Гидромотор нерегулируемый с реверсивным потоко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\\tprogress.local\shared\Лифты\_Облеухов А. А\Информация\Фото для КОСов\Гидравлика\Условные обозначения\Гидромотор нерегулируемый с реверсивным потоком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  <w:r w:rsidRPr="003F1F84">
        <w:rPr>
          <w:b/>
          <w:u w:val="single"/>
        </w:rPr>
        <w:t>Варианты ответов:</w:t>
      </w:r>
    </w:p>
    <w:p w:rsidR="00534898" w:rsidRPr="003F1F84" w:rsidRDefault="00534898" w:rsidP="00534898">
      <w:pPr>
        <w:contextualSpacing/>
        <w:jc w:val="center"/>
        <w:rPr>
          <w:b/>
          <w:u w:val="single"/>
        </w:rPr>
      </w:pPr>
    </w:p>
    <w:p w:rsidR="0085071B" w:rsidRPr="003F1F84" w:rsidRDefault="0085071B" w:rsidP="0085071B">
      <w:pPr>
        <w:widowControl w:val="0"/>
      </w:pPr>
      <w:r w:rsidRPr="003F1F84">
        <w:rPr>
          <w:iCs/>
        </w:rPr>
        <w:t>- насос, нерегулируемый с нереверсивным потоком;</w:t>
      </w:r>
    </w:p>
    <w:p w:rsidR="0085071B" w:rsidRPr="003F1F84" w:rsidRDefault="0085071B" w:rsidP="0085071B">
      <w:pPr>
        <w:widowControl w:val="0"/>
        <w:rPr>
          <w:iCs/>
        </w:rPr>
      </w:pPr>
      <w:r w:rsidRPr="003F1F84">
        <w:rPr>
          <w:iCs/>
        </w:rPr>
        <w:t>- гидромотор нерегулируемый с реверсивным потоком;</w:t>
      </w:r>
    </w:p>
    <w:p w:rsidR="0001629F" w:rsidRPr="003F1F84" w:rsidRDefault="0085071B" w:rsidP="0085071B">
      <w:r w:rsidRPr="003F1F84">
        <w:rPr>
          <w:iCs/>
        </w:rPr>
        <w:t>- управляемый клапан.</w:t>
      </w:r>
    </w:p>
    <w:sectPr w:rsidR="0001629F" w:rsidRPr="003F1F84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4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5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6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7" w15:restartNumberingAfterBreak="0">
    <w:nsid w:val="4EF71B44"/>
    <w:multiLevelType w:val="hybridMultilevel"/>
    <w:tmpl w:val="71A423B8"/>
    <w:lvl w:ilvl="0" w:tplc="BAEC85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94D332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2" w:tplc="C080A7B4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4164FF0A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4" w:tplc="BEF420F8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5" w:tplc="207ED8EA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6" w:tplc="43D236BC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7" w:tplc="4516C75A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8" w:tplc="530ED704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9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0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1" w15:restartNumberingAfterBreak="0">
    <w:nsid w:val="5B9F1F72"/>
    <w:multiLevelType w:val="hybridMultilevel"/>
    <w:tmpl w:val="44CA509A"/>
    <w:lvl w:ilvl="0" w:tplc="B11E81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58346A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 w:tplc="46E062A0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1018B316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4" w:tplc="D26AC116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5" w:tplc="F70ADDE6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6" w:tplc="69F2D3B8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DC764C46">
      <w:numFmt w:val="bullet"/>
      <w:lvlText w:val="•"/>
      <w:lvlJc w:val="left"/>
      <w:pPr>
        <w:ind w:left="3647" w:hanging="140"/>
      </w:pPr>
      <w:rPr>
        <w:rFonts w:hint="default"/>
        <w:lang w:val="ru-RU" w:eastAsia="en-US" w:bidi="ar-SA"/>
      </w:rPr>
    </w:lvl>
    <w:lvl w:ilvl="8" w:tplc="6D60964A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6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7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9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19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2"/>
  </w:num>
  <w:num w:numId="17">
    <w:abstractNumId w:val="12"/>
  </w:num>
  <w:num w:numId="18">
    <w:abstractNumId w:val="10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38BF"/>
    <w:rsid w:val="000D1E66"/>
    <w:rsid w:val="000D762B"/>
    <w:rsid w:val="000E3E29"/>
    <w:rsid w:val="001264B5"/>
    <w:rsid w:val="00142020"/>
    <w:rsid w:val="0021003F"/>
    <w:rsid w:val="00220E8F"/>
    <w:rsid w:val="0024292B"/>
    <w:rsid w:val="00267204"/>
    <w:rsid w:val="0028124A"/>
    <w:rsid w:val="00282EE5"/>
    <w:rsid w:val="002B514E"/>
    <w:rsid w:val="003042A8"/>
    <w:rsid w:val="0032176A"/>
    <w:rsid w:val="00357075"/>
    <w:rsid w:val="00367B7D"/>
    <w:rsid w:val="003718BD"/>
    <w:rsid w:val="003A22A9"/>
    <w:rsid w:val="003F1F84"/>
    <w:rsid w:val="004621EB"/>
    <w:rsid w:val="0046727C"/>
    <w:rsid w:val="004C5010"/>
    <w:rsid w:val="004C625C"/>
    <w:rsid w:val="004F6D34"/>
    <w:rsid w:val="00534898"/>
    <w:rsid w:val="00585C63"/>
    <w:rsid w:val="00600193"/>
    <w:rsid w:val="0060121C"/>
    <w:rsid w:val="00644F62"/>
    <w:rsid w:val="00670B7B"/>
    <w:rsid w:val="00681FBE"/>
    <w:rsid w:val="006E67EF"/>
    <w:rsid w:val="00703206"/>
    <w:rsid w:val="007A2126"/>
    <w:rsid w:val="007D223A"/>
    <w:rsid w:val="007E78E2"/>
    <w:rsid w:val="007F2341"/>
    <w:rsid w:val="0085071B"/>
    <w:rsid w:val="008B0399"/>
    <w:rsid w:val="00947D17"/>
    <w:rsid w:val="009C0ABA"/>
    <w:rsid w:val="00A1599B"/>
    <w:rsid w:val="00A17F91"/>
    <w:rsid w:val="00A53518"/>
    <w:rsid w:val="00A659F9"/>
    <w:rsid w:val="00AE3177"/>
    <w:rsid w:val="00AE403E"/>
    <w:rsid w:val="00AF1757"/>
    <w:rsid w:val="00B27C53"/>
    <w:rsid w:val="00B468C0"/>
    <w:rsid w:val="00B7240B"/>
    <w:rsid w:val="00B75F7C"/>
    <w:rsid w:val="00BE3FEF"/>
    <w:rsid w:val="00C82E2C"/>
    <w:rsid w:val="00C922F4"/>
    <w:rsid w:val="00D40352"/>
    <w:rsid w:val="00D41111"/>
    <w:rsid w:val="00D44360"/>
    <w:rsid w:val="00D618B7"/>
    <w:rsid w:val="00D9524B"/>
    <w:rsid w:val="00E03124"/>
    <w:rsid w:val="00E218B8"/>
    <w:rsid w:val="00E272D9"/>
    <w:rsid w:val="00E509D0"/>
    <w:rsid w:val="00EA6496"/>
    <w:rsid w:val="00EE0DD8"/>
    <w:rsid w:val="00F302AA"/>
    <w:rsid w:val="00F46EAC"/>
    <w:rsid w:val="00F81AB4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FCB4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link w:val="a4"/>
    <w:uiPriority w:val="99"/>
    <w:qFormat/>
    <w:rsid w:val="00F97C41"/>
    <w:pPr>
      <w:ind w:left="720"/>
      <w:contextualSpacing/>
    </w:pPr>
  </w:style>
  <w:style w:type="character" w:customStyle="1" w:styleId="Bodytext211pt">
    <w:name w:val="Body text (2) + 11 pt"/>
    <w:rsid w:val="0053489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534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EE0DD8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Bodytext40">
    <w:name w:val="Body text (4)"/>
    <w:basedOn w:val="a"/>
    <w:link w:val="Bodytext4"/>
    <w:rsid w:val="00EE0DD8"/>
    <w:pPr>
      <w:widowControl w:val="0"/>
      <w:shd w:val="clear" w:color="auto" w:fill="FFFFFF"/>
      <w:spacing w:line="475" w:lineRule="exact"/>
      <w:jc w:val="center"/>
    </w:pPr>
    <w:rPr>
      <w:rFonts w:eastAsiaTheme="minorHAns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06B2-CE15-4C0D-BF1F-7426EB8D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2618</Characters>
  <Application>Microsoft Office Word</Application>
  <DocSecurity>0</DocSecurity>
  <Lines>113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2</cp:revision>
  <dcterms:created xsi:type="dcterms:W3CDTF">2024-01-24T09:55:00Z</dcterms:created>
  <dcterms:modified xsi:type="dcterms:W3CDTF">2024-01-24T09:55:00Z</dcterms:modified>
</cp:coreProperties>
</file>